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3673F" w14:textId="1A19036F" w:rsidR="00256767" w:rsidRPr="008425A0" w:rsidRDefault="00256767">
      <w:pPr>
        <w:widowControl/>
        <w:pBdr>
          <w:bottom w:val="dotted" w:sz="6" w:space="11" w:color="DCDCDC"/>
        </w:pBdr>
        <w:shd w:val="clear" w:color="auto" w:fill="FFFFFF"/>
        <w:spacing w:line="420" w:lineRule="atLeast"/>
        <w:ind w:left="300" w:right="300"/>
        <w:jc w:val="center"/>
        <w:rPr>
          <w:rFonts w:asciiTheme="minorEastAsia" w:hAnsiTheme="minorEastAsia" w:cstheme="majorEastAsia" w:hint="eastAsia"/>
          <w:b/>
          <w:color w:val="000000"/>
          <w:kern w:val="0"/>
          <w:szCs w:val="21"/>
          <w:shd w:val="clear" w:color="auto" w:fill="FFFFFF"/>
          <w:lang w:bidi="ar"/>
        </w:rPr>
      </w:pPr>
      <w:r w:rsidRPr="008425A0">
        <w:rPr>
          <w:rFonts w:asciiTheme="minorEastAsia" w:hAnsiTheme="minorEastAsia" w:cstheme="majorEastAsia" w:hint="eastAsia"/>
          <w:b/>
          <w:color w:val="000000"/>
          <w:kern w:val="0"/>
          <w:szCs w:val="21"/>
          <w:shd w:val="clear" w:color="auto" w:fill="FFFFFF"/>
          <w:lang w:bidi="ar"/>
        </w:rPr>
        <w:t>江苏省新型高分子功能材料工程</w:t>
      </w:r>
      <w:r w:rsidR="008425A0" w:rsidRPr="008425A0">
        <w:rPr>
          <w:rFonts w:asciiTheme="minorEastAsia" w:hAnsiTheme="minorEastAsia" w:cstheme="majorEastAsia" w:hint="eastAsia"/>
          <w:b/>
          <w:color w:val="000000"/>
          <w:kern w:val="0"/>
          <w:szCs w:val="21"/>
          <w:shd w:val="clear" w:color="auto" w:fill="FFFFFF"/>
          <w:lang w:bidi="ar"/>
        </w:rPr>
        <w:t>研究中心</w:t>
      </w:r>
    </w:p>
    <w:p w14:paraId="1CF46103" w14:textId="00DBAB31" w:rsidR="00857567" w:rsidRPr="008425A0" w:rsidRDefault="00EC4905">
      <w:pPr>
        <w:widowControl/>
        <w:pBdr>
          <w:bottom w:val="dotted" w:sz="6" w:space="11" w:color="DCDCDC"/>
        </w:pBdr>
        <w:shd w:val="clear" w:color="auto" w:fill="FFFFFF"/>
        <w:spacing w:line="420" w:lineRule="atLeast"/>
        <w:ind w:left="300" w:right="300"/>
        <w:jc w:val="center"/>
        <w:rPr>
          <w:rFonts w:asciiTheme="minorEastAsia" w:hAnsiTheme="minorEastAsia" w:cstheme="majorEastAsia" w:hint="eastAsia"/>
          <w:b/>
          <w:color w:val="000000"/>
          <w:szCs w:val="21"/>
        </w:rPr>
      </w:pPr>
      <w:r w:rsidRPr="008425A0">
        <w:rPr>
          <w:rFonts w:asciiTheme="minorEastAsia" w:hAnsiTheme="minorEastAsia" w:cstheme="majorEastAsia" w:hint="eastAsia"/>
          <w:b/>
          <w:color w:val="000000"/>
          <w:kern w:val="0"/>
          <w:szCs w:val="21"/>
          <w:shd w:val="clear" w:color="auto" w:fill="FFFFFF"/>
          <w:lang w:bidi="ar"/>
        </w:rPr>
        <w:t>202</w:t>
      </w:r>
      <w:r w:rsidR="008425A0" w:rsidRPr="008425A0">
        <w:rPr>
          <w:rFonts w:asciiTheme="minorEastAsia" w:hAnsiTheme="minorEastAsia" w:cstheme="majorEastAsia" w:hint="eastAsia"/>
          <w:b/>
          <w:color w:val="000000"/>
          <w:kern w:val="0"/>
          <w:szCs w:val="21"/>
          <w:shd w:val="clear" w:color="auto" w:fill="FFFFFF"/>
          <w:lang w:bidi="ar"/>
        </w:rPr>
        <w:t>4</w:t>
      </w:r>
      <w:r w:rsidRPr="008425A0">
        <w:rPr>
          <w:rFonts w:asciiTheme="minorEastAsia" w:hAnsiTheme="minorEastAsia" w:cstheme="majorEastAsia" w:hint="eastAsia"/>
          <w:b/>
          <w:color w:val="000000"/>
          <w:kern w:val="0"/>
          <w:szCs w:val="21"/>
          <w:shd w:val="clear" w:color="auto" w:fill="FFFFFF"/>
          <w:lang w:bidi="ar"/>
        </w:rPr>
        <w:t>年度开放课题申请指南</w:t>
      </w:r>
    </w:p>
    <w:p w14:paraId="663A5E8B" w14:textId="21EF67CA" w:rsidR="00857567" w:rsidRPr="008425A0" w:rsidRDefault="00EC4905">
      <w:pPr>
        <w:pStyle w:val="a3"/>
        <w:widowControl/>
        <w:spacing w:beforeAutospacing="0" w:after="150" w:afterAutospacing="0" w:line="315" w:lineRule="atLeast"/>
        <w:ind w:firstLine="420"/>
        <w:jc w:val="center"/>
        <w:rPr>
          <w:rFonts w:asciiTheme="minorEastAsia" w:hAnsiTheme="minorEastAsia" w:cstheme="majorEastAsia" w:hint="eastAsia"/>
          <w:sz w:val="21"/>
          <w:szCs w:val="21"/>
        </w:rPr>
      </w:pPr>
      <w:r w:rsidRPr="008425A0">
        <w:rPr>
          <w:rFonts w:asciiTheme="minorEastAsia" w:hAnsiTheme="minorEastAsia" w:cstheme="majorEastAsia" w:hint="eastAsia"/>
          <w:color w:val="000000"/>
          <w:sz w:val="21"/>
          <w:szCs w:val="21"/>
          <w:shd w:val="clear" w:color="auto" w:fill="FFFFFF"/>
        </w:rPr>
        <w:t>202</w:t>
      </w:r>
      <w:r w:rsidR="008425A0" w:rsidRPr="008425A0">
        <w:rPr>
          <w:rFonts w:asciiTheme="minorEastAsia" w:hAnsiTheme="minorEastAsia" w:cstheme="majorEastAsia" w:hint="eastAsia"/>
          <w:color w:val="000000"/>
          <w:sz w:val="21"/>
          <w:szCs w:val="21"/>
          <w:shd w:val="clear" w:color="auto" w:fill="FFFFFF"/>
        </w:rPr>
        <w:t>4</w:t>
      </w:r>
      <w:r w:rsidRPr="008425A0">
        <w:rPr>
          <w:rFonts w:asciiTheme="minorEastAsia" w:hAnsiTheme="minorEastAsia" w:cstheme="majorEastAsia" w:hint="eastAsia"/>
          <w:color w:val="000000"/>
          <w:sz w:val="21"/>
          <w:szCs w:val="21"/>
          <w:shd w:val="clear" w:color="auto" w:fill="FFFFFF"/>
        </w:rPr>
        <w:t>年</w:t>
      </w:r>
      <w:r w:rsidR="00C10FE6" w:rsidRPr="008425A0">
        <w:rPr>
          <w:rFonts w:asciiTheme="minorEastAsia" w:hAnsiTheme="minorEastAsia" w:cstheme="majorEastAsia"/>
          <w:color w:val="000000"/>
          <w:sz w:val="21"/>
          <w:szCs w:val="21"/>
          <w:shd w:val="clear" w:color="auto" w:fill="FFFFFF"/>
        </w:rPr>
        <w:t>1</w:t>
      </w:r>
      <w:r w:rsidR="008425A0" w:rsidRPr="008425A0">
        <w:rPr>
          <w:rFonts w:asciiTheme="minorEastAsia" w:hAnsiTheme="minorEastAsia" w:cstheme="majorEastAsia" w:hint="eastAsia"/>
          <w:color w:val="000000"/>
          <w:sz w:val="21"/>
          <w:szCs w:val="21"/>
          <w:shd w:val="clear" w:color="auto" w:fill="FFFFFF"/>
        </w:rPr>
        <w:t>0</w:t>
      </w:r>
      <w:r w:rsidRPr="008425A0">
        <w:rPr>
          <w:rFonts w:asciiTheme="minorEastAsia" w:hAnsiTheme="minorEastAsia" w:cstheme="majorEastAsia" w:hint="eastAsia"/>
          <w:color w:val="000000"/>
          <w:sz w:val="21"/>
          <w:szCs w:val="21"/>
          <w:shd w:val="clear" w:color="auto" w:fill="FFFFFF"/>
        </w:rPr>
        <w:t>月</w:t>
      </w:r>
      <w:r w:rsidR="00E651B0">
        <w:rPr>
          <w:rFonts w:asciiTheme="minorEastAsia" w:hAnsiTheme="minorEastAsia" w:cstheme="majorEastAsia" w:hint="eastAsia"/>
          <w:color w:val="000000"/>
          <w:sz w:val="21"/>
          <w:szCs w:val="21"/>
          <w:shd w:val="clear" w:color="auto" w:fill="FFFFFF"/>
        </w:rPr>
        <w:t>14</w:t>
      </w:r>
      <w:r w:rsidRPr="008425A0">
        <w:rPr>
          <w:rFonts w:asciiTheme="minorEastAsia" w:hAnsiTheme="minorEastAsia" w:cstheme="majorEastAsia" w:hint="eastAsia"/>
          <w:color w:val="000000"/>
          <w:sz w:val="21"/>
          <w:szCs w:val="21"/>
          <w:shd w:val="clear" w:color="auto" w:fill="FFFFFF"/>
        </w:rPr>
        <w:t>日</w:t>
      </w:r>
    </w:p>
    <w:p w14:paraId="6849EC03" w14:textId="544B8A8D" w:rsidR="00857567" w:rsidRPr="008425A0" w:rsidRDefault="00256767" w:rsidP="00EC4905">
      <w:pPr>
        <w:widowControl/>
        <w:pBdr>
          <w:bottom w:val="dotted" w:sz="6" w:space="11" w:color="DCDCDC"/>
        </w:pBdr>
        <w:shd w:val="clear" w:color="auto" w:fill="FFFFFF"/>
        <w:spacing w:line="420" w:lineRule="atLeast"/>
        <w:ind w:left="300" w:right="300" w:firstLineChars="150" w:firstLine="315"/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</w:pPr>
      <w:r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江苏省新型高分子功能材料工程</w:t>
      </w:r>
      <w:r w:rsidR="008425A0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研究中心</w:t>
      </w:r>
      <w:r w:rsidR="00EC4905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依托于苏州大学材料与化学化工学部，</w:t>
      </w:r>
      <w:r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是</w:t>
      </w:r>
      <w:proofErr w:type="gramStart"/>
      <w:r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江苏省发改委</w:t>
      </w:r>
      <w:proofErr w:type="gramEnd"/>
      <w:r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于2010年9月批准建立的省级工程</w:t>
      </w:r>
      <w:r w:rsidR="008425A0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研究中心</w:t>
      </w:r>
      <w:r w:rsidR="00EC4905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，以目前</w:t>
      </w:r>
      <w:r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新材料发展</w:t>
      </w:r>
      <w:r w:rsidR="00EC4905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存在的瓶颈问题为突破重点，着重与</w:t>
      </w:r>
      <w:r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高效聚合方法学、精密合成技术</w:t>
      </w:r>
      <w:r w:rsidRPr="008425A0">
        <w:rPr>
          <w:rFonts w:asciiTheme="minorEastAsia" w:hAnsiTheme="minorEastAsia" w:cstheme="majorEastAsia"/>
          <w:color w:val="333333"/>
          <w:szCs w:val="21"/>
          <w:shd w:val="clear" w:color="auto" w:fill="FFFFFF"/>
        </w:rPr>
        <w:t>；</w:t>
      </w:r>
      <w:r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生物表界面、药物靶向传送材料的构筑</w:t>
      </w:r>
      <w:r w:rsidRPr="008425A0">
        <w:rPr>
          <w:rFonts w:asciiTheme="minorEastAsia" w:hAnsiTheme="minorEastAsia" w:cstheme="majorEastAsia"/>
          <w:color w:val="333333"/>
          <w:szCs w:val="21"/>
          <w:shd w:val="clear" w:color="auto" w:fill="FFFFFF"/>
        </w:rPr>
        <w:t>；</w:t>
      </w:r>
      <w:r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高性能聚合物复合材料的研发；燃料电池材料</w:t>
      </w:r>
      <w:r w:rsidR="00997B18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的研发及</w:t>
      </w:r>
      <w:r w:rsidR="00EC4905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相关</w:t>
      </w:r>
      <w:r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关键</w:t>
      </w:r>
      <w:r w:rsidR="00997B18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技术</w:t>
      </w:r>
      <w:r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与工艺</w:t>
      </w:r>
      <w:r w:rsidR="00EC4905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的</w:t>
      </w:r>
      <w:r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技术攻关。</w:t>
      </w:r>
      <w:r w:rsidR="00EC4905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江苏省新型高分子功能材料工程</w:t>
      </w:r>
      <w:r w:rsidR="008425A0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研究中心</w:t>
      </w:r>
      <w:r w:rsidR="00EC4905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致力于</w:t>
      </w:r>
      <w:r w:rsidR="00997B18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助力</w:t>
      </w:r>
      <w:r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建设我省</w:t>
      </w:r>
      <w:r w:rsidR="00997B18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高分子</w:t>
      </w:r>
      <w:r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功能材料企业公共服务平台、为企业提供技术支撑、信息交流和人才培养等，</w:t>
      </w:r>
      <w:r w:rsidR="00997B18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为</w:t>
      </w:r>
      <w:r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我省新材料</w:t>
      </w:r>
      <w:r w:rsidR="00997B18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产业</w:t>
      </w:r>
      <w:r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的可持续发展</w:t>
      </w:r>
      <w:r w:rsidR="00997B18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提供技术支撑</w:t>
      </w:r>
      <w:r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。根据</w:t>
      </w:r>
      <w:r w:rsidR="00BE2142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新型高分子功能材料工程</w:t>
      </w:r>
      <w:r w:rsidR="008425A0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研究中心</w:t>
      </w:r>
      <w:r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的研究方向和目标，</w:t>
      </w:r>
      <w:r w:rsidR="00EC4905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202</w:t>
      </w:r>
      <w:r w:rsid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4</w:t>
      </w:r>
      <w:r w:rsidR="00EC4905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年度本</w:t>
      </w:r>
      <w:r w:rsidR="00BE2142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工程</w:t>
      </w:r>
      <w:r w:rsidR="008425A0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研究中心</w:t>
      </w:r>
      <w:r w:rsidR="00EC4905" w:rsidRPr="008425A0">
        <w:rPr>
          <w:rFonts w:asciiTheme="minorEastAsia" w:hAnsiTheme="minorEastAsia" w:cstheme="majorEastAsia" w:hint="eastAsia"/>
          <w:color w:val="333333"/>
          <w:szCs w:val="21"/>
          <w:shd w:val="clear" w:color="auto" w:fill="FFFFFF"/>
        </w:rPr>
        <w:t>开放课题将重点资助以下研究方向：</w:t>
      </w:r>
    </w:p>
    <w:p w14:paraId="6D55FB74" w14:textId="7C404E9F" w:rsidR="00857567" w:rsidRPr="008425A0" w:rsidRDefault="00900723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</w:pPr>
      <w:r w:rsidRPr="008425A0">
        <w:rPr>
          <w:rFonts w:asciiTheme="minorEastAsia" w:hAnsiTheme="minorEastAsia" w:cstheme="majorEastAsia"/>
          <w:color w:val="333333"/>
          <w:sz w:val="21"/>
          <w:szCs w:val="21"/>
          <w:shd w:val="clear" w:color="auto" w:fill="FFFFFF"/>
        </w:rPr>
        <w:t>1</w:t>
      </w:r>
      <w:r w:rsidR="00EC4905"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）</w:t>
      </w:r>
      <w:r w:rsidR="00ED2A44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功能聚合物</w:t>
      </w:r>
      <w:r w:rsidR="00BE2142"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材料</w:t>
      </w:r>
      <w:r w:rsidR="00EC4905"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方向</w:t>
      </w:r>
    </w:p>
    <w:p w14:paraId="538D659E" w14:textId="1F33E527" w:rsidR="00BE2142" w:rsidRPr="008425A0" w:rsidRDefault="00900723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</w:pPr>
      <w:r w:rsidRPr="008425A0">
        <w:rPr>
          <w:rFonts w:asciiTheme="minorEastAsia" w:hAnsiTheme="minorEastAsia" w:cstheme="majorEastAsia"/>
          <w:color w:val="333333"/>
          <w:sz w:val="21"/>
          <w:szCs w:val="21"/>
          <w:shd w:val="clear" w:color="auto" w:fill="FFFFFF"/>
        </w:rPr>
        <w:t>2</w:t>
      </w:r>
      <w:r w:rsidR="00EC4905"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）</w:t>
      </w:r>
      <w:r w:rsidR="00126D3D"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能</w:t>
      </w:r>
      <w:proofErr w:type="gramStart"/>
      <w:r w:rsidR="00126D3D"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源</w:t>
      </w:r>
      <w:r w:rsidR="00FE007C"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材料</w:t>
      </w:r>
      <w:proofErr w:type="gramEnd"/>
      <w:r w:rsidR="00BE2142"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相关方向</w:t>
      </w:r>
    </w:p>
    <w:p w14:paraId="24EADD2A" w14:textId="6CD05718" w:rsidR="00DF3F18" w:rsidRPr="008425A0" w:rsidRDefault="00DF3F18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</w:pPr>
      <w:r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3）生物医用材料方向</w:t>
      </w:r>
    </w:p>
    <w:p w14:paraId="0F6C8F8D" w14:textId="26501C73" w:rsidR="00857567" w:rsidRPr="008425A0" w:rsidRDefault="00BE2142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</w:pPr>
      <w:r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新型高分子功能材料工程</w:t>
      </w:r>
      <w:r w:rsidR="008425A0"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研究中心</w:t>
      </w:r>
      <w:r w:rsidR="00EC4905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诚挚邀请校内外相关领域的研究人员申请</w:t>
      </w:r>
      <w:r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工程</w:t>
      </w:r>
      <w:r w:rsidR="008425A0"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研究中心</w:t>
      </w:r>
      <w:r w:rsidR="00EC4905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开放课题。</w:t>
      </w:r>
      <w:r w:rsidR="00435049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凡符合《开放课题实施办法》申请条件的研究人员均可提出申请，</w:t>
      </w:r>
      <w:r w:rsidR="008425A0"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研究中心</w:t>
      </w:r>
      <w:r w:rsidR="00435049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将按照“公平竞争、择优支持”的原则确定资助项目。</w:t>
      </w:r>
    </w:p>
    <w:p w14:paraId="52CBBDBB" w14:textId="617E7354" w:rsidR="00857567" w:rsidRPr="008425A0" w:rsidRDefault="00BE2142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</w:pPr>
      <w:r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新型高分子功能材料工程</w:t>
      </w:r>
      <w:r w:rsidR="008425A0"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研究中心</w:t>
      </w:r>
      <w:r w:rsidR="00EC4905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负责开放课题基金的申请受理工作。开放课题基金的评审按照学术委员会评审决定的程序进行。202</w:t>
      </w:r>
      <w:r w:rsidR="008425A0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4</w:t>
      </w:r>
      <w:r w:rsidR="00EC4905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年度开放课题基金申请受理的截止日期为202</w:t>
      </w:r>
      <w:r w:rsidR="008425A0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4</w:t>
      </w:r>
      <w:r w:rsidR="00EC4905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年</w:t>
      </w:r>
      <w:r w:rsidR="00C10FE6" w:rsidRPr="008425A0">
        <w:rPr>
          <w:rFonts w:asciiTheme="minorEastAsia" w:hAnsiTheme="minorEastAsia" w:cstheme="majorEastAsia"/>
          <w:color w:val="333333"/>
          <w:kern w:val="2"/>
          <w:sz w:val="21"/>
          <w:szCs w:val="21"/>
          <w:shd w:val="clear" w:color="auto" w:fill="FFFFFF"/>
        </w:rPr>
        <w:t>1</w:t>
      </w:r>
      <w:r w:rsidR="008425A0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0</w:t>
      </w:r>
      <w:r w:rsidR="00EC4905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月</w:t>
      </w:r>
      <w:r w:rsidR="00E651B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25</w:t>
      </w:r>
      <w:r w:rsidR="00EC4905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日。研究期限为两年，起止时间为202</w:t>
      </w:r>
      <w:r w:rsidR="008425A0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4</w:t>
      </w:r>
      <w:r w:rsidR="00EC4905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年</w:t>
      </w:r>
      <w:r w:rsidRPr="008425A0">
        <w:rPr>
          <w:rFonts w:asciiTheme="minorEastAsia" w:hAnsiTheme="minorEastAsia" w:cstheme="majorEastAsia"/>
          <w:color w:val="333333"/>
          <w:kern w:val="2"/>
          <w:sz w:val="21"/>
          <w:szCs w:val="21"/>
          <w:shd w:val="clear" w:color="auto" w:fill="FFFFFF"/>
        </w:rPr>
        <w:t>1</w:t>
      </w:r>
      <w:r w:rsidR="008425A0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0</w:t>
      </w:r>
      <w:r w:rsidR="00EC4905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月至202</w:t>
      </w:r>
      <w:r w:rsidR="008425A0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6</w:t>
      </w:r>
      <w:r w:rsidR="00EC4905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年</w:t>
      </w:r>
      <w:r w:rsidRPr="008425A0">
        <w:rPr>
          <w:rFonts w:asciiTheme="minorEastAsia" w:hAnsiTheme="minorEastAsia" w:cstheme="majorEastAsia"/>
          <w:color w:val="333333"/>
          <w:kern w:val="2"/>
          <w:sz w:val="21"/>
          <w:szCs w:val="21"/>
          <w:shd w:val="clear" w:color="auto" w:fill="FFFFFF"/>
        </w:rPr>
        <w:t>10</w:t>
      </w:r>
      <w:r w:rsidR="00EC4905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月。</w:t>
      </w:r>
    </w:p>
    <w:p w14:paraId="29F9B720" w14:textId="4931179F" w:rsidR="00DF1F8A" w:rsidRPr="008425A0" w:rsidRDefault="00EC4905" w:rsidP="00DF1F8A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</w:pPr>
      <w:r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申请开放课题基金必须按规定的格式如实填写《</w:t>
      </w:r>
      <w:r w:rsidR="00BE2142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新型高分子功能材料工程</w:t>
      </w:r>
      <w:r w:rsidR="008425A0"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研究中心</w:t>
      </w:r>
      <w:r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开放课题申请书》</w:t>
      </w:r>
      <w:r w:rsidR="00680251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,并将</w:t>
      </w:r>
      <w:r w:rsidR="00EE5710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《新型高分子功能材料工程</w:t>
      </w:r>
      <w:r w:rsidR="008425A0"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研究中心</w:t>
      </w:r>
      <w:r w:rsidR="00EE5710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开放课题申请书》</w:t>
      </w:r>
      <w:r w:rsidR="00EE5710" w:rsidRPr="008425A0">
        <w:rPr>
          <w:rFonts w:asciiTheme="minorEastAsia" w:hAnsiTheme="minorEastAsia" w:hint="eastAsia"/>
          <w:sz w:val="21"/>
          <w:szCs w:val="21"/>
        </w:rPr>
        <w:t>发送至</w:t>
      </w:r>
      <w:r w:rsidR="00EE5710" w:rsidRPr="008425A0">
        <w:rPr>
          <w:rFonts w:asciiTheme="minorEastAsia" w:hAnsiTheme="minorEastAsia"/>
          <w:sz w:val="21"/>
          <w:szCs w:val="21"/>
        </w:rPr>
        <w:t>guojn@suda.edu.cn</w:t>
      </w:r>
      <w:r w:rsidR="00DF1F8A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，经</w:t>
      </w:r>
      <w:r w:rsidR="008425A0"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研究中心</w:t>
      </w:r>
      <w:r w:rsidR="00DF1F8A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组织专家委员会评审择优批准。</w:t>
      </w:r>
    </w:p>
    <w:p w14:paraId="1F44DFE3" w14:textId="212E2E9D" w:rsidR="00680251" w:rsidRPr="008425A0" w:rsidRDefault="00680251" w:rsidP="00BE2142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</w:pPr>
      <w:r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其他未尽事宜，请与新型高分子功能材料工程</w:t>
      </w:r>
      <w:r w:rsidR="008425A0"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研究中心</w:t>
      </w:r>
      <w:r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联系。</w:t>
      </w:r>
    </w:p>
    <w:p w14:paraId="7D3B7BF5" w14:textId="63269392" w:rsidR="00857567" w:rsidRPr="008425A0" w:rsidRDefault="00EC4905" w:rsidP="004A1A7F">
      <w:pPr>
        <w:pStyle w:val="a3"/>
        <w:widowControl/>
        <w:spacing w:beforeAutospacing="0" w:afterAutospacing="0" w:line="400" w:lineRule="exact"/>
        <w:ind w:firstLine="420"/>
        <w:jc w:val="both"/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</w:pPr>
      <w:r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联系人：</w:t>
      </w:r>
      <w:r w:rsidR="00BE2142" w:rsidRPr="008425A0">
        <w:rPr>
          <w:rFonts w:asciiTheme="minorEastAsia" w:hAnsiTheme="minorEastAsia" w:cstheme="majorEastAsia" w:hint="eastAsia"/>
          <w:color w:val="333333"/>
          <w:kern w:val="2"/>
          <w:sz w:val="21"/>
          <w:szCs w:val="21"/>
          <w:shd w:val="clear" w:color="auto" w:fill="FFFFFF"/>
        </w:rPr>
        <w:t>郭江娜</w:t>
      </w:r>
    </w:p>
    <w:p w14:paraId="6E0F4F20" w14:textId="6EA2CBE6" w:rsidR="00857567" w:rsidRPr="008425A0" w:rsidRDefault="00EC4905" w:rsidP="004A1A7F">
      <w:pPr>
        <w:pStyle w:val="a3"/>
        <w:widowControl/>
        <w:spacing w:beforeAutospacing="0" w:afterAutospacing="0" w:line="400" w:lineRule="exact"/>
        <w:ind w:firstLine="420"/>
        <w:jc w:val="both"/>
        <w:rPr>
          <w:rFonts w:asciiTheme="minorEastAsia" w:hAnsiTheme="minorEastAsia" w:cstheme="majorEastAsia" w:hint="eastAsia"/>
          <w:sz w:val="21"/>
          <w:szCs w:val="21"/>
        </w:rPr>
      </w:pPr>
      <w:r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联系电话：</w:t>
      </w:r>
      <w:r w:rsidR="00BE2142" w:rsidRPr="008425A0">
        <w:rPr>
          <w:rFonts w:asciiTheme="minorEastAsia" w:hAnsiTheme="minorEastAsia" w:cstheme="majorEastAsia"/>
          <w:color w:val="333333"/>
          <w:sz w:val="21"/>
          <w:szCs w:val="21"/>
          <w:shd w:val="clear" w:color="auto" w:fill="FFFFFF"/>
        </w:rPr>
        <w:t>18862108367</w:t>
      </w:r>
    </w:p>
    <w:p w14:paraId="5C5B78D5" w14:textId="727B1CAD" w:rsidR="00857567" w:rsidRPr="008425A0" w:rsidRDefault="00EC4905" w:rsidP="004A1A7F">
      <w:pPr>
        <w:pStyle w:val="a3"/>
        <w:widowControl/>
        <w:spacing w:beforeAutospacing="0" w:afterAutospacing="0" w:line="400" w:lineRule="exact"/>
        <w:ind w:firstLine="420"/>
        <w:jc w:val="both"/>
        <w:rPr>
          <w:rFonts w:asciiTheme="minorEastAsia" w:hAnsiTheme="minorEastAsia" w:cstheme="majorEastAsia" w:hint="eastAsia"/>
          <w:sz w:val="21"/>
          <w:szCs w:val="21"/>
        </w:rPr>
      </w:pPr>
      <w:r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E-Mail:</w:t>
      </w:r>
      <w:r w:rsidR="00680251" w:rsidRPr="008425A0">
        <w:rPr>
          <w:rFonts w:asciiTheme="minorEastAsia" w:hAnsiTheme="minorEastAsia" w:cstheme="majorEastAsia"/>
          <w:color w:val="333333"/>
          <w:sz w:val="21"/>
          <w:szCs w:val="21"/>
          <w:shd w:val="clear" w:color="auto" w:fill="FFFFFF"/>
        </w:rPr>
        <w:t xml:space="preserve"> </w:t>
      </w:r>
      <w:r w:rsidR="00BE2142"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guojn</w:t>
      </w:r>
      <w:r w:rsidR="00BE2142" w:rsidRPr="008425A0">
        <w:rPr>
          <w:rFonts w:asciiTheme="minorEastAsia" w:hAnsiTheme="minorEastAsia" w:cstheme="majorEastAsia"/>
          <w:color w:val="333333"/>
          <w:sz w:val="21"/>
          <w:szCs w:val="21"/>
          <w:shd w:val="clear" w:color="auto" w:fill="FFFFFF"/>
        </w:rPr>
        <w:t>@suda.edu.cn</w:t>
      </w:r>
    </w:p>
    <w:p w14:paraId="3C37671C" w14:textId="79620D69" w:rsidR="00857567" w:rsidRPr="008425A0" w:rsidRDefault="00EC4905" w:rsidP="004A1A7F">
      <w:pPr>
        <w:pStyle w:val="a3"/>
        <w:widowControl/>
        <w:spacing w:beforeAutospacing="0" w:afterAutospacing="0" w:line="400" w:lineRule="exact"/>
        <w:ind w:firstLine="420"/>
        <w:jc w:val="both"/>
        <w:rPr>
          <w:rFonts w:asciiTheme="minorEastAsia" w:hAnsiTheme="minorEastAsia" w:cstheme="majorEastAsia" w:hint="eastAsia"/>
          <w:sz w:val="21"/>
          <w:szCs w:val="21"/>
        </w:rPr>
      </w:pPr>
      <w:r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通讯地址：</w:t>
      </w:r>
      <w:r w:rsidRPr="008425A0">
        <w:rPr>
          <w:rFonts w:asciiTheme="minorEastAsia" w:hAnsiTheme="minorEastAsia" w:cstheme="majorEastAsia" w:hint="eastAsia"/>
          <w:color w:val="000000"/>
          <w:sz w:val="21"/>
          <w:szCs w:val="21"/>
        </w:rPr>
        <w:t>苏州市工业园区仁爱路199号苏州大学独</w:t>
      </w:r>
      <w:proofErr w:type="gramStart"/>
      <w:r w:rsidRPr="008425A0">
        <w:rPr>
          <w:rFonts w:asciiTheme="minorEastAsia" w:hAnsiTheme="minorEastAsia" w:cstheme="majorEastAsia" w:hint="eastAsia"/>
          <w:color w:val="000000"/>
          <w:sz w:val="21"/>
          <w:szCs w:val="21"/>
        </w:rPr>
        <w:t>墅</w:t>
      </w:r>
      <w:proofErr w:type="gramEnd"/>
      <w:r w:rsidRPr="008425A0">
        <w:rPr>
          <w:rFonts w:asciiTheme="minorEastAsia" w:hAnsiTheme="minorEastAsia" w:cstheme="majorEastAsia" w:hint="eastAsia"/>
          <w:color w:val="000000"/>
          <w:sz w:val="21"/>
          <w:szCs w:val="21"/>
        </w:rPr>
        <w:t>湖校区一期</w:t>
      </w:r>
      <w:r w:rsidR="00BE2142" w:rsidRPr="008425A0">
        <w:rPr>
          <w:rFonts w:asciiTheme="minorEastAsia" w:hAnsiTheme="minorEastAsia" w:cstheme="majorEastAsia"/>
          <w:color w:val="000000"/>
          <w:sz w:val="21"/>
          <w:szCs w:val="21"/>
        </w:rPr>
        <w:t>912</w:t>
      </w:r>
      <w:r w:rsidRPr="008425A0">
        <w:rPr>
          <w:rFonts w:asciiTheme="minorEastAsia" w:hAnsiTheme="minorEastAsia" w:cstheme="majorEastAsia" w:hint="eastAsia"/>
          <w:color w:val="000000"/>
          <w:sz w:val="21"/>
          <w:szCs w:val="21"/>
        </w:rPr>
        <w:t>号楼</w:t>
      </w:r>
      <w:r w:rsidR="00BE2142" w:rsidRPr="008425A0">
        <w:rPr>
          <w:rFonts w:asciiTheme="minorEastAsia" w:hAnsiTheme="minorEastAsia" w:cstheme="majorEastAsia"/>
          <w:color w:val="000000"/>
          <w:sz w:val="21"/>
          <w:szCs w:val="21"/>
        </w:rPr>
        <w:t>512</w:t>
      </w:r>
      <w:r w:rsidRPr="008425A0">
        <w:rPr>
          <w:rFonts w:asciiTheme="minorEastAsia" w:hAnsiTheme="minorEastAsia" w:cstheme="majorEastAsia" w:hint="eastAsia"/>
          <w:color w:val="000000"/>
          <w:sz w:val="21"/>
          <w:szCs w:val="21"/>
        </w:rPr>
        <w:t>室</w:t>
      </w:r>
    </w:p>
    <w:p w14:paraId="7E35AF68" w14:textId="1990A006" w:rsidR="004A1A7F" w:rsidRPr="00691FCB" w:rsidRDefault="00EC4905" w:rsidP="00691FCB">
      <w:pPr>
        <w:pStyle w:val="a3"/>
        <w:widowControl/>
        <w:spacing w:beforeAutospacing="0" w:after="150" w:afterAutospacing="0" w:line="400" w:lineRule="exact"/>
        <w:ind w:firstLine="420"/>
        <w:jc w:val="both"/>
        <w:rPr>
          <w:rFonts w:asciiTheme="minorEastAsia" w:hAnsiTheme="minorEastAsia" w:cstheme="majorEastAsia" w:hint="eastAsia"/>
          <w:sz w:val="21"/>
          <w:szCs w:val="21"/>
        </w:rPr>
      </w:pPr>
      <w:r w:rsidRPr="008425A0">
        <w:rPr>
          <w:rFonts w:asciiTheme="minorEastAsia" w:hAnsiTheme="minorEastAsia" w:cstheme="majorEastAsia" w:hint="eastAsia"/>
          <w:color w:val="333333"/>
          <w:sz w:val="21"/>
          <w:szCs w:val="21"/>
          <w:shd w:val="clear" w:color="auto" w:fill="FFFFFF"/>
        </w:rPr>
        <w:t>邮政编码：215123</w:t>
      </w:r>
    </w:p>
    <w:sectPr w:rsidR="004A1A7F" w:rsidRPr="00691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2F9A0" w14:textId="77777777" w:rsidR="008F6302" w:rsidRDefault="008F6302" w:rsidP="008F24F3">
      <w:r>
        <w:separator/>
      </w:r>
    </w:p>
  </w:endnote>
  <w:endnote w:type="continuationSeparator" w:id="0">
    <w:p w14:paraId="2F60B4C1" w14:textId="77777777" w:rsidR="008F6302" w:rsidRDefault="008F6302" w:rsidP="008F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E9E04" w14:textId="77777777" w:rsidR="008F6302" w:rsidRDefault="008F6302" w:rsidP="008F24F3">
      <w:r>
        <w:separator/>
      </w:r>
    </w:p>
  </w:footnote>
  <w:footnote w:type="continuationSeparator" w:id="0">
    <w:p w14:paraId="24E170BD" w14:textId="77777777" w:rsidR="008F6302" w:rsidRDefault="008F6302" w:rsidP="008F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left" w:pos="1139"/>
        </w:tabs>
        <w:ind w:left="113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559"/>
        </w:tabs>
        <w:ind w:left="155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979"/>
        </w:tabs>
        <w:ind w:left="19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99"/>
        </w:tabs>
        <w:ind w:left="239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819"/>
        </w:tabs>
        <w:ind w:left="281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39"/>
        </w:tabs>
        <w:ind w:left="32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59"/>
        </w:tabs>
        <w:ind w:left="365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79"/>
        </w:tabs>
        <w:ind w:left="407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99"/>
        </w:tabs>
        <w:ind w:left="4499" w:hanging="420"/>
      </w:pPr>
      <w:rPr>
        <w:rFonts w:ascii="Wingdings" w:hAnsi="Wingdings" w:hint="default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left" w:pos="1139"/>
        </w:tabs>
        <w:ind w:left="113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559"/>
        </w:tabs>
        <w:ind w:left="155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979"/>
        </w:tabs>
        <w:ind w:left="19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99"/>
        </w:tabs>
        <w:ind w:left="239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819"/>
        </w:tabs>
        <w:ind w:left="281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39"/>
        </w:tabs>
        <w:ind w:left="32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59"/>
        </w:tabs>
        <w:ind w:left="365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79"/>
        </w:tabs>
        <w:ind w:left="407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99"/>
        </w:tabs>
        <w:ind w:left="4499" w:hanging="420"/>
      </w:pPr>
      <w:rPr>
        <w:rFonts w:ascii="Wingdings" w:hAnsi="Wingdings" w:hint="default"/>
      </w:rPr>
    </w:lvl>
  </w:abstractNum>
  <w:abstractNum w:abstractNumId="2" w15:restartNumberingAfterBreak="0">
    <w:nsid w:val="57036E22"/>
    <w:multiLevelType w:val="singleLevel"/>
    <w:tmpl w:val="57036E22"/>
    <w:lvl w:ilvl="0">
      <w:start w:val="1"/>
      <w:numFmt w:val="chineseCounting"/>
      <w:suff w:val="nothing"/>
      <w:lvlText w:val="%1、"/>
      <w:lvlJc w:val="left"/>
    </w:lvl>
  </w:abstractNum>
  <w:num w:numId="1" w16cid:durableId="670988801">
    <w:abstractNumId w:val="2"/>
  </w:num>
  <w:num w:numId="2" w16cid:durableId="2111535989">
    <w:abstractNumId w:val="0"/>
  </w:num>
  <w:num w:numId="3" w16cid:durableId="132365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567"/>
    <w:rsid w:val="000475BD"/>
    <w:rsid w:val="00057160"/>
    <w:rsid w:val="001230A1"/>
    <w:rsid w:val="00126D3D"/>
    <w:rsid w:val="001C2DAC"/>
    <w:rsid w:val="002457A7"/>
    <w:rsid w:val="00256767"/>
    <w:rsid w:val="00261FF1"/>
    <w:rsid w:val="003F3060"/>
    <w:rsid w:val="00435049"/>
    <w:rsid w:val="00451B90"/>
    <w:rsid w:val="004A1A7F"/>
    <w:rsid w:val="004D5940"/>
    <w:rsid w:val="004E230E"/>
    <w:rsid w:val="0054270D"/>
    <w:rsid w:val="00636777"/>
    <w:rsid w:val="00670BC2"/>
    <w:rsid w:val="00680251"/>
    <w:rsid w:val="00691FCB"/>
    <w:rsid w:val="006929CB"/>
    <w:rsid w:val="00721529"/>
    <w:rsid w:val="0074003B"/>
    <w:rsid w:val="008425A0"/>
    <w:rsid w:val="00857567"/>
    <w:rsid w:val="00867857"/>
    <w:rsid w:val="00882E6E"/>
    <w:rsid w:val="008F24F3"/>
    <w:rsid w:val="008F6302"/>
    <w:rsid w:val="00900723"/>
    <w:rsid w:val="0090666D"/>
    <w:rsid w:val="00997B18"/>
    <w:rsid w:val="009B0BDD"/>
    <w:rsid w:val="00A338A7"/>
    <w:rsid w:val="00A620E5"/>
    <w:rsid w:val="00BE2142"/>
    <w:rsid w:val="00BE4B91"/>
    <w:rsid w:val="00C10FE6"/>
    <w:rsid w:val="00C73D27"/>
    <w:rsid w:val="00CD3EFF"/>
    <w:rsid w:val="00DF1F8A"/>
    <w:rsid w:val="00DF3F18"/>
    <w:rsid w:val="00E651B0"/>
    <w:rsid w:val="00E73005"/>
    <w:rsid w:val="00EC4905"/>
    <w:rsid w:val="00ED2A44"/>
    <w:rsid w:val="00EE5710"/>
    <w:rsid w:val="00FC15AF"/>
    <w:rsid w:val="00FD3606"/>
    <w:rsid w:val="00FE007C"/>
    <w:rsid w:val="0AFA6DB7"/>
    <w:rsid w:val="0E9D10FA"/>
    <w:rsid w:val="145D5F46"/>
    <w:rsid w:val="14F77DF3"/>
    <w:rsid w:val="15903400"/>
    <w:rsid w:val="16FD6894"/>
    <w:rsid w:val="1BD14425"/>
    <w:rsid w:val="22640CDB"/>
    <w:rsid w:val="28EF1EB8"/>
    <w:rsid w:val="486F305A"/>
    <w:rsid w:val="570102E7"/>
    <w:rsid w:val="588415F4"/>
    <w:rsid w:val="643C35E5"/>
    <w:rsid w:val="68AB1648"/>
    <w:rsid w:val="6E3E61A3"/>
    <w:rsid w:val="70C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F7FE1F"/>
  <w15:docId w15:val="{CD3F71EA-8D39-43A6-A742-C19E38FF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8F2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F24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8F2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F24F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680251"/>
    <w:rPr>
      <w:color w:val="605E5C"/>
      <w:shd w:val="clear" w:color="auto" w:fill="E1DFDD"/>
    </w:rPr>
  </w:style>
  <w:style w:type="character" w:styleId="ab">
    <w:name w:val="FollowedHyperlink"/>
    <w:basedOn w:val="a0"/>
    <w:rsid w:val="00EE5710"/>
    <w:rPr>
      <w:color w:val="954F72" w:themeColor="followedHyperlink"/>
      <w:u w:val="single"/>
    </w:rPr>
  </w:style>
  <w:style w:type="paragraph" w:customStyle="1" w:styleId="ac">
    <w:name w:val="二级标题"/>
    <w:basedOn w:val="a"/>
    <w:next w:val="a"/>
    <w:qFormat/>
    <w:rsid w:val="004A1A7F"/>
    <w:pPr>
      <w:snapToGrid w:val="0"/>
      <w:spacing w:line="360" w:lineRule="auto"/>
    </w:pPr>
    <w:rPr>
      <w:rFonts w:ascii="Times New Roman" w:eastAsia="宋体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0729</dc:creator>
  <cp:lastModifiedBy>jiangna guo</cp:lastModifiedBy>
  <cp:revision>26</cp:revision>
  <dcterms:created xsi:type="dcterms:W3CDTF">2021-05-14T01:35:00Z</dcterms:created>
  <dcterms:modified xsi:type="dcterms:W3CDTF">2024-10-14T10:59:00Z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